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44D" w:rsidRDefault="0095144D">
      <w:bookmarkStart w:id="0" w:name="_GoBack"/>
      <w:bookmarkEnd w:id="0"/>
    </w:p>
    <w:tbl>
      <w:tblPr>
        <w:tblStyle w:val="TableGrid"/>
        <w:tblW w:w="1105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387"/>
      </w:tblGrid>
      <w:tr w:rsidR="0095144D" w:rsidTr="006F51DE">
        <w:trPr>
          <w:trHeight w:val="1418"/>
        </w:trPr>
        <w:tc>
          <w:tcPr>
            <w:tcW w:w="5665" w:type="dxa"/>
          </w:tcPr>
          <w:p w:rsidR="0095144D" w:rsidRDefault="0095144D" w:rsidP="0095144D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sz w:val="28"/>
                <w:szCs w:val="28"/>
              </w:rPr>
            </w:pPr>
          </w:p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Create artistic works using </w:t>
            </w:r>
            <w:r w:rsidRPr="003617D7">
              <w:rPr>
                <w:b/>
                <w:sz w:val="28"/>
                <w:szCs w:val="28"/>
              </w:rPr>
              <w:t>sensory inspiration</w:t>
            </w:r>
            <w:r w:rsidRPr="003617D7">
              <w:rPr>
                <w:sz w:val="28"/>
                <w:szCs w:val="28"/>
              </w:rPr>
              <w:t xml:space="preserve">, imagination, and inquiry </w:t>
            </w:r>
          </w:p>
          <w:p w:rsidR="0095144D" w:rsidRDefault="0095144D" w:rsidP="0095144D">
            <w:pPr>
              <w:rPr>
                <w:sz w:val="28"/>
                <w:szCs w:val="28"/>
              </w:rPr>
            </w:pPr>
          </w:p>
          <w:p w:rsidR="0095144D" w:rsidRDefault="0095144D" w:rsidP="000451C4"/>
        </w:tc>
        <w:tc>
          <w:tcPr>
            <w:tcW w:w="5387" w:type="dxa"/>
          </w:tcPr>
          <w:p w:rsidR="0095144D" w:rsidRPr="0095144D" w:rsidRDefault="0095144D" w:rsidP="0095144D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b/>
                <w:sz w:val="28"/>
                <w:szCs w:val="28"/>
              </w:rPr>
            </w:pPr>
          </w:p>
          <w:p w:rsidR="0095144D" w:rsidRPr="003617D7" w:rsidRDefault="0095144D" w:rsidP="0095144D">
            <w:pPr>
              <w:pStyle w:val="ListParagraph"/>
              <w:tabs>
                <w:tab w:val="clear" w:pos="480"/>
              </w:tabs>
              <w:rPr>
                <w:b/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Reflect on the influences of a </w:t>
            </w:r>
            <w:r w:rsidRPr="003617D7">
              <w:rPr>
                <w:b/>
                <w:sz w:val="28"/>
                <w:szCs w:val="28"/>
              </w:rPr>
              <w:t>variety of contexts</w:t>
            </w:r>
            <w:r w:rsidRPr="003617D7">
              <w:rPr>
                <w:sz w:val="28"/>
                <w:szCs w:val="28"/>
              </w:rPr>
              <w:t xml:space="preserve"> on artistic works</w:t>
            </w:r>
          </w:p>
          <w:p w:rsidR="0095144D" w:rsidRDefault="0095144D" w:rsidP="000451C4"/>
        </w:tc>
      </w:tr>
      <w:tr w:rsidR="0095144D" w:rsidTr="006F51DE">
        <w:trPr>
          <w:trHeight w:val="1418"/>
        </w:trPr>
        <w:tc>
          <w:tcPr>
            <w:tcW w:w="5665" w:type="dxa"/>
          </w:tcPr>
          <w:p w:rsidR="0095144D" w:rsidRDefault="0095144D" w:rsidP="0095144D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sz w:val="28"/>
                <w:szCs w:val="28"/>
              </w:rPr>
            </w:pPr>
          </w:p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Explore artistic possibilities and take </w:t>
            </w:r>
            <w:r w:rsidRPr="003617D7">
              <w:rPr>
                <w:b/>
                <w:sz w:val="28"/>
                <w:szCs w:val="28"/>
              </w:rPr>
              <w:t>creative</w:t>
            </w:r>
            <w:r w:rsidRPr="003617D7">
              <w:rPr>
                <w:sz w:val="28"/>
                <w:szCs w:val="28"/>
              </w:rPr>
              <w:t xml:space="preserve"> </w:t>
            </w:r>
            <w:r w:rsidRPr="003617D7">
              <w:rPr>
                <w:b/>
                <w:sz w:val="28"/>
                <w:szCs w:val="28"/>
              </w:rPr>
              <w:t>risks</w:t>
            </w:r>
            <w:r w:rsidRPr="003617D7">
              <w:rPr>
                <w:sz w:val="28"/>
                <w:szCs w:val="28"/>
              </w:rPr>
              <w:t xml:space="preserve"> </w:t>
            </w: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b/>
                <w:sz w:val="28"/>
                <w:szCs w:val="28"/>
              </w:rPr>
              <w:t>Document</w:t>
            </w:r>
            <w:r w:rsidRPr="003617D7">
              <w:rPr>
                <w:sz w:val="28"/>
                <w:szCs w:val="28"/>
              </w:rPr>
              <w:t>, share, and appreciate works of art in a variety of contexts</w:t>
            </w:r>
          </w:p>
          <w:p w:rsidR="0095144D" w:rsidRDefault="0095144D" w:rsidP="000451C4"/>
        </w:tc>
      </w:tr>
      <w:tr w:rsidR="0095144D" w:rsidTr="006F51DE">
        <w:trPr>
          <w:trHeight w:val="1418"/>
        </w:trPr>
        <w:tc>
          <w:tcPr>
            <w:tcW w:w="5665" w:type="dxa"/>
          </w:tcPr>
          <w:p w:rsidR="0095144D" w:rsidRDefault="0095144D" w:rsidP="000451C4"/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>Create artistic works with an audience</w:t>
            </w:r>
            <w:r w:rsidRPr="003617D7">
              <w:rPr>
                <w:b/>
                <w:sz w:val="28"/>
                <w:szCs w:val="28"/>
              </w:rPr>
              <w:t xml:space="preserve"> </w:t>
            </w:r>
            <w:r w:rsidRPr="003617D7">
              <w:rPr>
                <w:sz w:val="28"/>
                <w:szCs w:val="28"/>
              </w:rPr>
              <w:t>in mind</w:t>
            </w: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Demonstrate respect for self, others, and </w:t>
            </w:r>
            <w:r w:rsidRPr="003617D7">
              <w:rPr>
                <w:b/>
                <w:sz w:val="28"/>
                <w:szCs w:val="28"/>
              </w:rPr>
              <w:t>place</w:t>
            </w:r>
            <w:r w:rsidRPr="003617D7">
              <w:rPr>
                <w:sz w:val="28"/>
                <w:szCs w:val="28"/>
              </w:rPr>
              <w:t xml:space="preserve"> </w:t>
            </w:r>
          </w:p>
          <w:p w:rsidR="0095144D" w:rsidRDefault="0095144D" w:rsidP="000451C4"/>
        </w:tc>
      </w:tr>
      <w:tr w:rsidR="0095144D" w:rsidTr="006F51DE">
        <w:trPr>
          <w:trHeight w:val="1418"/>
        </w:trPr>
        <w:tc>
          <w:tcPr>
            <w:tcW w:w="5665" w:type="dxa"/>
          </w:tcPr>
          <w:p w:rsidR="0095144D" w:rsidRDefault="0095144D" w:rsidP="000451C4"/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>Express meaning, intent, and emotion through visual art</w:t>
            </w:r>
          </w:p>
          <w:p w:rsidR="0095144D" w:rsidRDefault="0095144D" w:rsidP="0095144D">
            <w:pPr>
              <w:rPr>
                <w:sz w:val="28"/>
                <w:szCs w:val="28"/>
              </w:rPr>
            </w:pP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>Communicate ideas through art making</w:t>
            </w:r>
          </w:p>
          <w:p w:rsidR="0095144D" w:rsidRDefault="0095144D" w:rsidP="000451C4"/>
        </w:tc>
      </w:tr>
      <w:tr w:rsidR="0095144D" w:rsidTr="006F51DE">
        <w:trPr>
          <w:trHeight w:val="1418"/>
        </w:trPr>
        <w:tc>
          <w:tcPr>
            <w:tcW w:w="5665" w:type="dxa"/>
          </w:tcPr>
          <w:p w:rsidR="0095144D" w:rsidRDefault="0095144D" w:rsidP="000451C4"/>
          <w:p w:rsidR="0095144D" w:rsidRDefault="0095144D" w:rsidP="000451C4"/>
          <w:p w:rsidR="0095144D" w:rsidRPr="003617D7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Develop and refine artistic skills in a variety of </w:t>
            </w:r>
            <w:r w:rsidRPr="003617D7">
              <w:rPr>
                <w:b/>
                <w:sz w:val="28"/>
                <w:szCs w:val="28"/>
              </w:rPr>
              <w:t>styles</w:t>
            </w:r>
            <w:r w:rsidRPr="003617D7">
              <w:rPr>
                <w:sz w:val="28"/>
                <w:szCs w:val="28"/>
              </w:rPr>
              <w:t xml:space="preserve"> and </w:t>
            </w:r>
            <w:r w:rsidRPr="003617D7">
              <w:rPr>
                <w:b/>
                <w:sz w:val="28"/>
                <w:szCs w:val="28"/>
              </w:rPr>
              <w:t>movements</w:t>
            </w: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Communicate and </w:t>
            </w:r>
            <w:r w:rsidRPr="003617D7">
              <w:rPr>
                <w:b/>
                <w:sz w:val="28"/>
                <w:szCs w:val="28"/>
              </w:rPr>
              <w:t>respond</w:t>
            </w:r>
            <w:r w:rsidRPr="003617D7">
              <w:rPr>
                <w:sz w:val="28"/>
                <w:szCs w:val="28"/>
              </w:rPr>
              <w:t xml:space="preserve"> to </w:t>
            </w:r>
            <w:r w:rsidRPr="003617D7">
              <w:rPr>
                <w:b/>
                <w:sz w:val="28"/>
                <w:szCs w:val="28"/>
              </w:rPr>
              <w:t>social and environmental issues</w:t>
            </w:r>
            <w:r w:rsidRPr="003617D7">
              <w:rPr>
                <w:sz w:val="28"/>
                <w:szCs w:val="28"/>
              </w:rPr>
              <w:t xml:space="preserve"> through visual art</w:t>
            </w:r>
          </w:p>
          <w:p w:rsidR="0095144D" w:rsidRDefault="0095144D" w:rsidP="000451C4"/>
        </w:tc>
      </w:tr>
      <w:tr w:rsidR="0095144D" w:rsidTr="006F51DE">
        <w:trPr>
          <w:trHeight w:val="1418"/>
        </w:trPr>
        <w:tc>
          <w:tcPr>
            <w:tcW w:w="5665" w:type="dxa"/>
          </w:tcPr>
          <w:p w:rsidR="0095144D" w:rsidRDefault="0095144D" w:rsidP="000451C4"/>
          <w:p w:rsidR="0095144D" w:rsidRPr="003617D7" w:rsidRDefault="0095144D" w:rsidP="0095144D">
            <w:pPr>
              <w:pStyle w:val="ListParagraph"/>
              <w:tabs>
                <w:tab w:val="clear" w:pos="480"/>
              </w:tabs>
              <w:rPr>
                <w:b/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Demonstrate safe and </w:t>
            </w:r>
            <w:r w:rsidRPr="003617D7">
              <w:rPr>
                <w:b/>
                <w:sz w:val="28"/>
                <w:szCs w:val="28"/>
              </w:rPr>
              <w:t>responsible</w:t>
            </w:r>
            <w:r w:rsidRPr="003617D7">
              <w:rPr>
                <w:sz w:val="28"/>
                <w:szCs w:val="28"/>
              </w:rPr>
              <w:t xml:space="preserve"> </w:t>
            </w:r>
            <w:r w:rsidRPr="003617D7">
              <w:rPr>
                <w:b/>
                <w:sz w:val="28"/>
                <w:szCs w:val="28"/>
              </w:rPr>
              <w:t>use of materials</w:t>
            </w:r>
            <w:r w:rsidRPr="003617D7">
              <w:rPr>
                <w:sz w:val="28"/>
                <w:szCs w:val="28"/>
              </w:rPr>
              <w:t>, tools, and work space</w:t>
            </w: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  <w:p w:rsidR="0095144D" w:rsidRPr="0095144D" w:rsidRDefault="0095144D" w:rsidP="000451C4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Explore First Peoples perspectives and knowledge, other </w:t>
            </w:r>
            <w:r w:rsidRPr="003617D7">
              <w:rPr>
                <w:b/>
                <w:sz w:val="28"/>
                <w:szCs w:val="28"/>
              </w:rPr>
              <w:t>ways of knowing</w:t>
            </w:r>
            <w:r w:rsidRPr="003617D7">
              <w:rPr>
                <w:sz w:val="28"/>
                <w:szCs w:val="28"/>
              </w:rPr>
              <w:t>, and local cultural knowledge through artistic works</w:t>
            </w:r>
          </w:p>
        </w:tc>
      </w:tr>
      <w:tr w:rsidR="0095144D" w:rsidTr="006F51DE">
        <w:trPr>
          <w:trHeight w:val="1418"/>
        </w:trPr>
        <w:tc>
          <w:tcPr>
            <w:tcW w:w="5665" w:type="dxa"/>
          </w:tcPr>
          <w:p w:rsidR="0095144D" w:rsidRDefault="0095144D" w:rsidP="000451C4"/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Describe and analyze how artists use materials, technologies, processes, and </w:t>
            </w:r>
            <w:r w:rsidRPr="003617D7">
              <w:rPr>
                <w:b/>
                <w:sz w:val="28"/>
                <w:szCs w:val="28"/>
              </w:rPr>
              <w:t>environments</w:t>
            </w:r>
            <w:r w:rsidRPr="003617D7">
              <w:rPr>
                <w:sz w:val="28"/>
                <w:szCs w:val="28"/>
              </w:rPr>
              <w:t xml:space="preserve"> in art making</w:t>
            </w: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  <w:p w:rsidR="0095144D" w:rsidRPr="003617D7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>Create artistic works that demonstrate personal, cultural, and historical contexts</w:t>
            </w:r>
          </w:p>
          <w:p w:rsidR="0095144D" w:rsidRDefault="0095144D" w:rsidP="000451C4"/>
        </w:tc>
      </w:tr>
      <w:tr w:rsidR="0095144D" w:rsidTr="006F51DE">
        <w:trPr>
          <w:trHeight w:val="1418"/>
        </w:trPr>
        <w:tc>
          <w:tcPr>
            <w:tcW w:w="5665" w:type="dxa"/>
          </w:tcPr>
          <w:p w:rsidR="0095144D" w:rsidRDefault="0095144D" w:rsidP="000451C4"/>
          <w:p w:rsidR="0095144D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>Recognize and evaluate design choices in artistic creations</w:t>
            </w:r>
          </w:p>
          <w:p w:rsidR="0095144D" w:rsidRDefault="0095144D" w:rsidP="0095144D">
            <w:pPr>
              <w:rPr>
                <w:sz w:val="28"/>
                <w:szCs w:val="28"/>
              </w:rPr>
            </w:pPr>
          </w:p>
          <w:p w:rsidR="0095144D" w:rsidRDefault="0095144D" w:rsidP="000451C4"/>
        </w:tc>
        <w:tc>
          <w:tcPr>
            <w:tcW w:w="5387" w:type="dxa"/>
          </w:tcPr>
          <w:p w:rsidR="0095144D" w:rsidRPr="003617D7" w:rsidRDefault="0095144D" w:rsidP="0095144D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3617D7">
              <w:rPr>
                <w:sz w:val="28"/>
                <w:szCs w:val="28"/>
              </w:rPr>
              <w:t xml:space="preserve">Develop personal answers to </w:t>
            </w:r>
            <w:r w:rsidRPr="003617D7">
              <w:rPr>
                <w:b/>
                <w:sz w:val="28"/>
                <w:szCs w:val="28"/>
              </w:rPr>
              <w:t>aesthetic questions</w:t>
            </w:r>
          </w:p>
          <w:p w:rsidR="0095144D" w:rsidRDefault="0095144D" w:rsidP="000451C4"/>
        </w:tc>
      </w:tr>
    </w:tbl>
    <w:p w:rsidR="0095144D" w:rsidRDefault="0095144D" w:rsidP="0095144D"/>
    <w:p w:rsidR="0095144D" w:rsidRPr="0095144D" w:rsidRDefault="0095144D" w:rsidP="0095144D"/>
    <w:sectPr w:rsidR="0095144D" w:rsidRPr="0095144D" w:rsidSect="0095144D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44D" w:rsidRDefault="0095144D" w:rsidP="0095144D">
      <w:r>
        <w:separator/>
      </w:r>
    </w:p>
  </w:endnote>
  <w:endnote w:type="continuationSeparator" w:id="0">
    <w:p w:rsidR="0095144D" w:rsidRDefault="0095144D" w:rsidP="0095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altName w:val="Sylfaen"/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407377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95144D" w:rsidRDefault="0095144D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95144D" w:rsidRDefault="0095144D">
    <w:pPr>
      <w:pStyle w:val="Footer"/>
    </w:pPr>
    <w:r>
      <w:tab/>
    </w:r>
    <w:r>
      <w:tab/>
      <w:t>ART 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44D" w:rsidRDefault="0095144D" w:rsidP="0095144D">
      <w:r>
        <w:separator/>
      </w:r>
    </w:p>
  </w:footnote>
  <w:footnote w:type="continuationSeparator" w:id="0">
    <w:p w:rsidR="0095144D" w:rsidRDefault="0095144D" w:rsidP="00951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52CDC"/>
    <w:multiLevelType w:val="hybridMultilevel"/>
    <w:tmpl w:val="2C947ACC"/>
    <w:lvl w:ilvl="0" w:tplc="63949110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CE309150">
      <w:start w:val="1"/>
      <w:numFmt w:val="bullet"/>
      <w:pStyle w:val="ListParagraphindent"/>
      <w:lvlText w:val="—"/>
      <w:lvlJc w:val="left"/>
      <w:pPr>
        <w:tabs>
          <w:tab w:val="num" w:pos="-360"/>
        </w:tabs>
        <w:ind w:left="108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revisionView w:comments="0"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4D"/>
    <w:rsid w:val="006F51DE"/>
    <w:rsid w:val="0095144D"/>
    <w:rsid w:val="00F7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0F5C3"/>
  <w15:chartTrackingRefBased/>
  <w15:docId w15:val="{C08E9901-686A-4C1A-85A8-FCFA52C6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qFormat/>
    <w:rsid w:val="0095144D"/>
    <w:pPr>
      <w:numPr>
        <w:numId w:val="1"/>
      </w:numPr>
      <w:tabs>
        <w:tab w:val="left" w:pos="480"/>
      </w:tabs>
      <w:spacing w:after="60"/>
    </w:pPr>
    <w:rPr>
      <w:rFonts w:ascii="Helvetica" w:hAnsi="Helvetica" w:cstheme="minorHAnsi"/>
      <w:sz w:val="20"/>
      <w:szCs w:val="20"/>
      <w:lang w:val="en-CA" w:eastAsia="en-CA"/>
    </w:rPr>
  </w:style>
  <w:style w:type="paragraph" w:customStyle="1" w:styleId="ListParagraphindent">
    <w:name w:val="List Paragraph indent"/>
    <w:basedOn w:val="ListParagraph"/>
    <w:rsid w:val="0095144D"/>
    <w:pPr>
      <w:numPr>
        <w:ilvl w:val="1"/>
      </w:numPr>
      <w:spacing w:after="40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5144D"/>
    <w:rPr>
      <w:rFonts w:ascii="Helvetica" w:eastAsia="Times New Roman" w:hAnsi="Helvetica" w:cstheme="minorHAnsi"/>
      <w:sz w:val="20"/>
      <w:szCs w:val="20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1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1DE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D5806-EB72-4BEE-BA77-A05C4ACD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3</cp:revision>
  <cp:lastPrinted>2019-01-29T18:08:00Z</cp:lastPrinted>
  <dcterms:created xsi:type="dcterms:W3CDTF">2019-01-29T18:08:00Z</dcterms:created>
  <dcterms:modified xsi:type="dcterms:W3CDTF">2019-01-29T18:08:00Z</dcterms:modified>
</cp:coreProperties>
</file>